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424 vom 2. Oktober 1991</w:t>
      </w:r>
    </w:p>
    <w:p>
      <w:r>
        <w:t>Bundesgericht (BGE), 1991-10-02, IT</w:t>
      </w:r>
    </w:p>
    <w:p>
      <w:r>
        <w:rPr>
          <w:b/>
        </w:rPr>
        <w:t xml:space="preserve">Quelle: </w:t>
      </w:r>
      <w:r>
        <w:t>https://mcp.opencaselaw.ch/entscheid/bge_117 IA 424</w:t>
      </w:r>
    </w:p>
    <w:p>
      <w:r>
        <w:t>FR: BGE 117 IA 424 du 2 octobre 1991</w:t>
      </w:r>
    </w:p>
    <w:p>
      <w:r>
        <w:t>IT: BGE 117 IA 424 del 2 ottobre 1991</w:t>
      </w:r>
    </w:p>
    <w:p>
      <w:pPr>
        <w:pStyle w:val="Heading2"/>
      </w:pPr>
      <w:r>
        <w:t>Regeste</w:t>
      </w:r>
    </w:p>
    <w:p>
      <w:r>
        <w:t>Regeste Strafverfahren; Beschlagnahme zwecks Einziehung; Recht, persönlich Kopien von Akten des Verfahrens zu erstellen; Art. 4 und Art. 22ter BV, Art. 58 ff. StGB. 1. Die Beschlagnahme (zwecks Einziehung) ist gerechtfertigt, wenn aus triftigen Gründen angenommen werden kann, dass die betroffenen Vermögenswerte identisch sind mit denjenigen, die dem Verfolgten als Beute aus der deliktischen Handlung, derer er verdächtigt wird, zugekommen sind. Voraussetzungen für die Beschlagnahme von aus deliktischen Handlungen stammenden Vermögenswerten, die an Dritte weitergegeben wurden (E. 20c). 2. Im konkreten Fall hat die kantonale Behörde die Einziehungs-Beschlagnahme zu Recht angeordnet. Die vom Bundesgericht im Bereiche der Auslieferung beziehungsweise der internationalen Rechtshilfe aufgestellten Kriterien für die Rückgabe der Beute an den ersuchenden Staat finden keine Anwendung (E. 20c). 3. Eine Beschlagnahme lediglich zum Schutze von Interessen Dritter ist nur für Gegenstände und Vermögenswerte ausgeschlossen, welche mit der strafbaren Handlung in keinem Zusammenhang stehen. Anderseits schützen die Bestimmungen des Strafgesetzbuchs über die Einziehung indirekt auch die Interessen des Geschädigten (E. 21). 4. Der Anspruch auf rechtliches Gehör umfasst auch das Recht, im Rahmen der Akteneinsicht persönlich Kopien von Akten zu erstellen (E. 28b).</w:t>
      </w:r>
    </w:p>
    <w:p>
      <w:pPr>
        <w:pStyle w:val="Heading2"/>
      </w:pPr>
      <w:r>
        <w:t>Erwägungen</w:t>
      </w:r>
    </w:p>
    <w:p>
      <w:r>
        <w:rPr>
          <w:b/>
        </w:rPr>
        <w:t>E. 21</w:t>
      </w:r>
    </w:p>
    <w:p>
      <w:r>
        <w:t>Il divieto di far ricorso al sequestro penale per proteggere gli interessi del leso vale solo per quei beni patrimoniali che non presentano alcuna connessione col reato: se esiste una tale connessione, e può giustificarsi pertanto una successiva confisca, il divieto non sussiste ( DTF 115 III 5 , consid. 4b; DTF 111 Ia 11 seg. consid. 3; DTF 107 III 115 consid. 1; JdT 1988, 30). In quanto pretende il contrario, il ricorso è infondato. Giova d'altronde ricordare che le disposizioni del Codice penale sulla confisca proteggono non solo direttamente (cfr. art. 60 cpv. 1 CP ), ma anche indirettamente gli interessi del leso: alla confisca volta a sopprimere un profitto o una situazione indebiti ( art. 58 cpv. 1 lett. a CP ) si rinuncia infatti, se tale profitto è già stato eliminato perché il colpevole ha restituito al leso i valori sottratti col reato al patrimonio di questo, o si è validamente impegnato a farlo (SCHULTZ, Einziehung und Verfall, ZBJV 114 (1978) pag. 333). 28. b) ... La giurisprudenza più recente del Tribunale federale ha riconosciuto che fa parte del diritto d'esser sentito anche la pretesa di allestire - utilizzando un apparecchio dell'amministrazione e pagando una tassa di cancelleria - copie di atti, nella misura in cui ciò non comporti per l'amministrazione un aggravio eccessivo ( DTF 116 Ia 325 segg., DTF 108 Ia 7 consid. 2c; ARTHUR HAEFLIGER, Alle Schweizer sind vor dem Gesetze gleich, pag. 146). Nel caso di specie, non si vede per quale motivo pertinente si dovesse negare al patrono del ricorrente il diritto di provvedere lui stesso all'allestimento delle fotocopie nei locali dell'istruzione giudiziaria, nella misura in cui l'accesso agli atti gli era stato concesso. La questione di sapere se una tale confezione di copie a cura dell'amministrazione stessa rappresentasse un aggravio eccessivo BGE 117 Ia 424 S. 430 non ha quindi bisogno d'esser risolta. Al patrono del ricorrente dovrà pertanto concedersi di procedere a tale allestimento. c) (Il Tribunale federale ha poi accertato che, dal profilo del processo equo e quello della conveniente difesa del ricorrente, il rifiuto dell'autorità di allestire copie degli atti non ha comportato alcuna restrizione. Da qui, l'accoglimento del ricorso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